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Times New Roman" w:eastAsia="仿宋" w:hAnsi="Times New Roman" w:cs="Times New Roman" w:hint="default"/>
          <w:kern w:val="0"/>
          <w:sz w:val="32"/>
          <w:szCs w:val="32"/>
        </w:rPr>
      </w:pPr>
      <w:r>
        <w:rPr>
          <w:rFonts w:ascii="Times New Roman" w:eastAsia="仿宋" w:hAnsi="Times New Roman" w:cs="Times New Roman" w:hint="default"/>
          <w:kern w:val="0"/>
          <w:sz w:val="32"/>
          <w:szCs w:val="32"/>
        </w:rPr>
        <w:t xml:space="preserve">附件2：</w:t>
      </w: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both"/>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both"/>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both"/>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both"/>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both"/>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both"/>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960" w:firstLineChars="200"/>
        <w:jc w:val="center"/>
        <w:textAlignment w:val="auto"/>
        <w:rPr>
          <w:rFonts w:ascii="Times New Roman" w:eastAsia="方正小标宋_GBK" w:hAnsi="Times New Roman" w:cs="Times New Roman" w:hint="default"/>
          <w:b/>
          <w:kern w:val="0"/>
          <w:sz w:val="48"/>
          <w:szCs w:val="48"/>
        </w:rPr>
      </w:pPr>
      <w:r>
        <w:rPr>
          <w:rFonts w:ascii="Times New Roman" w:eastAsia="方正小标宋_GBK" w:hAnsi="Times New Roman" w:cs="Times New Roman" w:hint="default"/>
          <w:b/>
          <w:kern w:val="0"/>
          <w:sz w:val="48"/>
          <w:szCs w:val="48"/>
        </w:rPr>
        <w:t xml:space="preserve">项目支出绩效自评报告</w:t>
      </w:r>
    </w:p>
    <w:p>
      <w:pPr>
        <w:keepNext w:val="0"/>
        <w:keepLines w:val="0"/>
        <w:pageBreakBefore w:val="0"/>
        <w:widowControl w:val="0"/>
        <w:kinsoku/>
        <w:wordWrap/>
        <w:overflowPunct/>
        <w:topLinePunct w:val="0"/>
        <w:autoSpaceDE/>
        <w:autoSpaceDN/>
        <w:bidi w:val="0"/>
        <w:adjustRightInd/>
        <w:snapToGrid/>
        <w:spacing w:line="540" w:lineRule="exact"/>
        <w:ind w:firstLine="1040" w:firstLineChars="200"/>
        <w:jc w:val="center"/>
        <w:textAlignment w:val="auto"/>
        <w:rPr>
          <w:rFonts w:ascii="Times New Roman" w:eastAsia="华文中宋" w:hAnsi="Times New Roman" w:cs="Times New Roman" w:hint="default"/>
          <w:b/>
          <w:kern w:val="0"/>
          <w:sz w:val="52"/>
          <w:szCs w:val="52"/>
        </w:rPr>
      </w:pP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center"/>
        <w:textAlignment w:val="auto"/>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   </w:t>
      </w:r>
      <w:r>
        <w:rPr>
          <w:rStyle w:val="Strong"/>
          <w:rFonts w:ascii="Times New Roman" w:eastAsia="楷体" w:hAnsi="Times New Roman" w:cs="Times New Roman" w:hint="default"/>
          <w:spacing w:val="-4"/>
          <w:sz w:val="32"/>
          <w:szCs w:val="32"/>
        </w:rPr>
        <w:t xml:space="preserve">2024</w:t>
      </w:r>
      <w:r>
        <w:rPr>
          <w:rFonts w:ascii="Times New Roman" w:eastAsia="仿宋_GB2312" w:hAnsi="Times New Roman" w:cs="Times New Roman" w:hint="default"/>
          <w:kern w:val="0"/>
          <w:sz w:val="36"/>
          <w:szCs w:val="36"/>
        </w:rPr>
        <w:t xml:space="preserve">  年度）</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center"/>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720" w:firstLineChars="200"/>
        <w:jc w:val="both"/>
        <w:textAlignment w:val="auto"/>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Times New Roman" w:eastAsia="仿宋" w:hAnsi="Times New Roman" w:cs="Times New Roman" w:hint="default"/>
          <w:b w:val="0"/>
          <w:bCs w:val="0"/>
          <w:kern w:val="0"/>
          <w:sz w:val="32"/>
          <w:szCs w:val="32"/>
        </w:rPr>
      </w:pPr>
      <w:r>
        <w:rPr>
          <w:rFonts w:ascii="Times New Roman" w:eastAsia="仿宋" w:hAnsi="Times New Roman" w:cs="Times New Roman" w:hint="default"/>
          <w:b w:val="0"/>
          <w:bCs w:val="0"/>
          <w:kern w:val="0"/>
          <w:sz w:val="32"/>
          <w:szCs w:val="32"/>
        </w:rPr>
        <w:t xml:space="preserve">项目名称：</w:t>
      </w:r>
      <w:r>
        <w:rPr>
          <w:rStyle w:val="Strong"/>
          <w:rFonts w:ascii="楷体" w:eastAsia="楷体" w:hAnsi="楷体" w:cs="楷体" w:hint="default"/>
          <w:b w:val="0"/>
          <w:bCs w:val="0"/>
          <w:spacing w:val="-4"/>
          <w:sz w:val="32"/>
          <w:szCs w:val="32"/>
        </w:rPr>
        <w:t xml:space="preserve">2024</w:t>
      </w:r>
      <w:r>
        <w:rPr>
          <w:rStyle w:val="Strong"/>
          <w:rFonts w:ascii="楷体" w:eastAsia="楷体" w:hAnsi="楷体" w:cs="楷体" w:hint="eastAsia"/>
          <w:b w:val="0"/>
          <w:bCs w:val="0"/>
          <w:spacing w:val="-4"/>
          <w:sz w:val="32"/>
          <w:szCs w:val="32"/>
        </w:rPr>
        <w:t xml:space="preserve">年村级组织运转经费和服务群众经费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cs="楷体" w:hint="default"/>
          <w:b w:val="0"/>
          <w:bCs w:val="0"/>
          <w:spacing w:val="-4"/>
          <w:sz w:val="32"/>
          <w:szCs w:val="32"/>
        </w:rPr>
      </w:pPr>
      <w:r>
        <w:rPr>
          <w:rFonts w:ascii="Times New Roman" w:eastAsia="仿宋" w:hAnsi="Times New Roman" w:cs="Times New Roman" w:hint="default"/>
          <w:b w:val="0"/>
          <w:bCs w:val="0"/>
          <w:kern w:val="0"/>
          <w:sz w:val="32"/>
          <w:szCs w:val="32"/>
        </w:rPr>
        <w:t xml:space="preserve">实施单位（公章）：</w:t>
      </w:r>
      <w:r>
        <w:rPr>
          <w:rStyle w:val="Strong"/>
          <w:rFonts w:ascii="楷体" w:eastAsia="楷体" w:hAnsi="楷体" w:cs="楷体" w:hint="default"/>
          <w:b w:val="0"/>
          <w:bCs w:val="0"/>
          <w:spacing w:val="-4"/>
          <w:sz w:val="32"/>
          <w:szCs w:val="32"/>
        </w:rPr>
        <w:t xml:space="preserve">裕民县新地乡人民政府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ascii="Times New Roman" w:eastAsia="仿宋" w:hAnsi="Times New Roman" w:cs="Times New Roman" w:hint="default"/>
          <w:b w:val="0"/>
          <w:bCs w:val="0"/>
          <w:spacing w:val="-4"/>
          <w:sz w:val="32"/>
          <w:szCs w:val="32"/>
        </w:rPr>
      </w:pPr>
      <w:r>
        <w:rPr>
          <w:rFonts w:ascii="Times New Roman" w:eastAsia="仿宋" w:hAnsi="Times New Roman" w:cs="Times New Roman" w:hint="default"/>
          <w:b w:val="0"/>
          <w:bCs w:val="0"/>
          <w:kern w:val="0"/>
          <w:sz w:val="32"/>
          <w:szCs w:val="32"/>
        </w:rPr>
        <w:t xml:space="preserve">主管部门（公章）：</w:t>
      </w:r>
      <w:r>
        <w:rPr>
          <w:rStyle w:val="Strong"/>
          <w:rFonts w:ascii="楷体" w:eastAsia="楷体" w:hAnsi="楷体" w:cs="楷体" w:hint="default"/>
          <w:b w:val="0"/>
          <w:bCs w:val="0"/>
          <w:spacing w:val="-4"/>
          <w:sz w:val="32"/>
          <w:szCs w:val="32"/>
        </w:rPr>
        <w:t xml:space="preserve">裕民县新地乡人民政府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楷体" w:eastAsia="楷体" w:hAnsi="楷体" w:cs="楷体" w:hint="default"/>
          <w:b w:val="0"/>
          <w:bCs w:val="0"/>
          <w:spacing w:val="-4"/>
          <w:sz w:val="32"/>
          <w:szCs w:val="32"/>
        </w:rPr>
      </w:pPr>
      <w:r>
        <w:rPr>
          <w:rFonts w:ascii="Times New Roman" w:eastAsia="仿宋" w:hAnsi="Times New Roman" w:cs="Times New Roman" w:hint="default"/>
          <w:b w:val="0"/>
          <w:bCs w:val="0"/>
          <w:kern w:val="0"/>
          <w:sz w:val="32"/>
          <w:szCs w:val="32"/>
        </w:rPr>
        <w:t xml:space="preserve">项目负责人（签章）：</w:t>
      </w:r>
      <w:r>
        <w:rPr>
          <w:rStyle w:val="Strong"/>
          <w:rFonts w:ascii="楷体" w:eastAsia="楷体" w:hAnsi="楷体" w:cs="楷体" w:hint="default"/>
          <w:b w:val="0"/>
          <w:bCs w:val="0"/>
          <w:spacing w:val="-4"/>
          <w:sz w:val="32"/>
          <w:szCs w:val="32"/>
        </w:rPr>
        <w:t xml:space="preserve">肖丹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Style w:val="Strong"/>
          <w:rFonts w:ascii="Times New Roman" w:eastAsia="仿宋" w:hAnsi="Times New Roman" w:cs="Times New Roman" w:hint="default"/>
          <w:b w:val="0"/>
          <w:bCs w:val="0"/>
          <w:spacing w:val="-4"/>
          <w:sz w:val="32"/>
          <w:szCs w:val="32"/>
        </w:rPr>
      </w:pPr>
      <w:r>
        <w:rPr>
          <w:rFonts w:ascii="Times New Roman" w:eastAsia="仿宋" w:hAnsi="Times New Roman" w:cs="Times New Roman" w:hint="default"/>
          <w:b w:val="0"/>
          <w:bCs w:val="0"/>
          <w:kern w:val="0"/>
          <w:sz w:val="32"/>
          <w:szCs w:val="32"/>
        </w:rPr>
        <w:t xml:space="preserve">填报时间：</w:t>
      </w:r>
      <w:r>
        <w:rPr>
          <w:rStyle w:val="Strong"/>
          <w:rFonts w:ascii="楷体" w:eastAsia="楷体" w:hAnsi="楷体" w:cs="楷体" w:hint="default"/>
          <w:b w:val="0"/>
          <w:bCs w:val="0"/>
          <w:spacing w:val="-4"/>
          <w:sz w:val="32"/>
          <w:szCs w:val="32"/>
        </w:rPr>
        <w:t xml:space="preserve">2025年04月30日</w:t>
      </w:r>
    </w:p>
    <w:p>
      <w:pPr>
        <w:keepNext w:val="0"/>
        <w:keepLines w:val="0"/>
        <w:pageBreakBefore w:val="0"/>
        <w:widowControl w:val="0"/>
        <w:kinsoku/>
        <w:wordWrap/>
        <w:overflowPunct/>
        <w:topLinePunct w:val="0"/>
        <w:autoSpaceDE/>
        <w:autoSpaceDN/>
        <w:bidi w:val="0"/>
        <w:adjustRightInd/>
        <w:snapToGrid/>
        <w:spacing w:line="540" w:lineRule="exact"/>
        <w:ind w:firstLine="600" w:firstLineChars="200"/>
        <w:jc w:val="both"/>
        <w:textAlignment w:val="auto"/>
        <w:rPr>
          <w:rFonts w:ascii="Times New Roman" w:eastAsia="仿宋_GB2312" w:hAnsi="Times New Roman" w:cs="Times New Roman" w:hint="default"/>
          <w:kern w:val="0"/>
          <w:sz w:val="30"/>
          <w:szCs w:val="30"/>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黑体" w:hAnsi="Times New Roman" w:cs="Times New Roman" w:hint="default"/>
          <w:b w:val="0"/>
          <w:spacing w:val="-4"/>
          <w:sz w:val="32"/>
          <w:szCs w:val="32"/>
        </w:rPr>
      </w:pPr>
    </w:p>
    <w:p>
      <w:pPr>
        <w:keepNext w:val="0"/>
        <w:keepLines w:val="0"/>
        <w:pageBreakBefore w:val="0"/>
        <w:widowControl w:val="0"/>
        <w:numPr>
          <w:ilvl w:val="0"/>
          <w:numId w:val="6"/>
        </w:numPr>
        <w:kinsoku/>
        <w:wordWrap/>
        <w:overflowPunct/>
        <w:topLinePunct w:val="0"/>
        <w:autoSpaceDE/>
        <w:autoSpaceDN/>
        <w:bidi w:val="0"/>
        <w:adjustRightInd/>
        <w:snapToGrid/>
        <w:spacing w:line="540" w:lineRule="exact"/>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rPr>
        <w:t xml:space="preserve">基本情况</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（一）项目概况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1.项目背景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lang w:val="en-US" w:eastAsia="zh-CN"/>
        </w:rPr>
      </w:pPr>
      <w:r>
        <w:rPr>
          <w:rStyle w:val="Strong"/>
          <w:rFonts w:ascii="楷体" w:eastAsia="楷体" w:hAnsi="楷体" w:cs="楷体" w:hint="eastAsia"/>
          <w:b w:val="0"/>
          <w:bCs w:val="0"/>
          <w:spacing w:val="-4"/>
          <w:sz w:val="32"/>
          <w:szCs w:val="32"/>
        </w:rPr>
        <w:t xml:space="preserve">为保障村级组织正常运转，提升基层治理能力，增强服务群众实效，裕民县新地乡严格落实村级组织运转经费和服务群众经费保障政策，确保村级组织能够有效履行公共管理、社会服务等职能，切实解决群众“急难愁盼”问题，推动乡村振兴战略实施。</w:t>
      </w:r>
      <w:r>
        <w:rPr>
          <w:rStyle w:val="Strong"/>
          <w:rFonts w:ascii="Times New Roman" w:eastAsia="楷体" w:hAnsi="Times New Roman" w:cs="Times New Roman" w:hint="default"/>
          <w:b w:val="0"/>
          <w:bCs w:val="0"/>
          <w:spacing w:val="-4"/>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2.项目主要内容：</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项目主要内容：该项目旨在全方位保障裕民县新地乡村级组织的日常运转及各类服务群众工作的开展，资金主要投入到以下关键领域：</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维持办公运转：用于购置各类办公用品，如纸笔、文件柜、电脑耗材等，确保日常办公的物资充足；支付设备的租赁费，为村级组织提供稳定的办公空间；承担电费、邮电费等，维持办公场所的水电供应及通讯畅通，保障信息传递及时，保证村级组织日常办公事务的顺利推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保障公务出行与通讯：通过公务用车运行维护费，保障村级组织在执行公务、开展下乡调研、应急处理等工作中的车辆使用需求，确保工作人员能够及时抵达工作地点；其他交通费用则用于补充公务用车无法覆盖的交通支出，如工作人员乘坐公共交通开展工作等情况；邮电费除保障办公通讯外，还用于村级组织与外界的信息沟通，包括订阅报刊获取政策资讯、与上级部门及其他单位的邮件往来等，维持信息渠道的高效运转。</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设施维护与更新：维修（护）费被广泛应用于村内公共设施设施，如铲车等的日常维护与修缮，以及办公设备的维修，延长设施与设备的使用寿命，保障其正常运行，减少因设施故障给村民生活和村级工作带来的不便。</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人力支持与劳务：劳务费主要用于支付临时性、阶段性工作所雇佣人员的报酬。</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困难群体关怀：借助生活补助，为新地乡的困难村民、五保户、低保户以及因突发状况陷入困境的家庭提供必要的生活支持，缓解他们的生活压力，体现政府对弱势群体的关怀，促进乡村社会的和谐稳定发展。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项目实施情况：在项目推进过程中，新地乡严格遵循既定的财务制度与项目管理规范，确保资金使用的透明化、规范化。针对办公费用，各村依据实际需求，提前制定详细的采购计划，并通过规范的审批流程进行办公用品采购；在交通与通讯费用管理上，建立了完善的车辆使用登记台账与费用报销审核机制，对每一笔通讯费用支出也进行严格核查，保证费用使用合理合规；设施维护与租赁方面，选择具有良好信誉的合作方，保障维护工程质量与租赁服务的性价比；劳务费用发放严格依照工作合同及工作考核结果执行，保障劳务人员的合法权益；生活补助发放则经过村民申请、村级审核、公示等多道程序，确保补助资金精准发放至真正有需求的困难群众手中。截至目前，各项资金均已按照预算安排逐步投入使用，各村办公条件得到显著改善，公共设施的维护与更新及时到位，各类服务群众活动有序开展，极大地提升了村级组织的工作效率与服务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3.资金投入和使用情况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（1）资金投入情况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该项目年初预算数140.29万元，全年预算数140.21万元，该项目资金已全部落实到位，资金来源为财政拨款。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（2）资金使用情况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该项目年初预算数140.29万元，全年预算数140.21万元，全年执行数140.21万元，预算执行率为100%，该项目全年执行数140.21万元，预算执行率为100%。资金主要用于：办公费支出19.82万元，用于保障村级组织日常办公用品购置与办公场地租赁；电费2.87万元，保障办公及公共设施用电；维修（护）费31.95万元，完成村内基础设施与办公设备的维护修缮；租赁费31.25万元，用于办公设备及场地租赁；劳务费43.23万元，支付临时劳务人员报酬；公务用车运行维护费0万元，其他交通费用0.22万元，补充公务出行的交通支出；邮电费7.18万元，确保通讯与信息传递畅通；生活补助3.69万元，为困难群体提供生活支持。通过合理的资金分配与使用，保障了村级组织各项工作的顺利开展。</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（二）项目绩效目标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1.总体目标</w:t>
      </w:r>
      <w:r>
        <w:cr/>
      </w:r>
      <w:r>
        <w:rPr>
          <w:rStyle w:val="Strong"/>
          <w:rFonts w:eastAsia="楷体" w:cs="Times New Roman" w:hint="eastAsia"/>
          <w:b w:val="0"/>
          <w:bCs w:val="0"/>
          <w:spacing w:val="-4"/>
          <w:sz w:val="32"/>
          <w:szCs w:val="32"/>
          <w:lang w:val="en-US" w:eastAsia="zh-CN"/>
        </w:rPr>
        <w:t xml:space="preserve">    </w:t>
      </w:r>
      <w:r>
        <w:rPr>
          <w:rStyle w:val="Strong"/>
          <w:rFonts w:ascii="楷体" w:eastAsia="楷体" w:hAnsi="楷体" w:cs="楷体" w:hint="eastAsia"/>
          <w:b w:val="0"/>
          <w:bCs w:val="0"/>
          <w:spacing w:val="-4"/>
          <w:sz w:val="32"/>
          <w:szCs w:val="32"/>
          <w:lang w:val="en-US" w:eastAsia="zh-CN"/>
        </w:rPr>
        <w:t xml:space="preserve">通</w:t>
      </w:r>
      <w:r>
        <w:rPr>
          <w:rStyle w:val="Strong"/>
          <w:rFonts w:ascii="楷体" w:eastAsia="楷体" w:hAnsi="楷体" w:cs="楷体" w:hint="eastAsia"/>
          <w:b w:val="0"/>
          <w:bCs w:val="0"/>
          <w:spacing w:val="-4"/>
          <w:sz w:val="32"/>
          <w:szCs w:val="32"/>
        </w:rPr>
        <w:t xml:space="preserve">过投入140.29万元的村级组织运转经费和服务群众经费，保障裕民县新地乡村级组织全年正常运转，提升服务群众能力。确保村级办公高效开展，公共服务全面覆盖，困难群体得到精准帮扶，增强村民对村级组织的满意度，推动新地乡基层治理水平提升，助力乡村和谐稳定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2.阶段性目标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（1）第一季度（1-3月）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资金分配与办公保障：将预算的30%，即42.063万元资金分配至各村。完成办公设备维护与办公用品采购，投入10万元用于购买纸笔、墨盒等办公耗材，5万元用于办公设备维修保养，确保办公设备完好率达95%以上。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交通通讯保障：安排5万元用于公务用车维护保养及油费支出，保障公务出行；投入3万元用于支付一季度的通讯费、网络费，确保信息畅通。</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服务规划制定：制定全年服务群众活动计划，明确活动内容、时间及责任人。完成困难群众信息收集与审核，确定生活补助发放名单。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（2）第二季度（4-6月）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服务活动开展：投入20万元用于组织开展文化、卫生类公共服务活动。举办2场文化演出，每场预算5万元，包括场地租赁、演出人员费用等；开展2次健康义诊活动，每次预算3万元，涵盖医疗设备租赁、医护人员劳务费用等，覆盖至少50%的村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办公与租赁费用：使用15万元支付办公场地及设备租赁费，确保办公环境稳定。同时，安排3万元用于水电费支出，保证办公区域水电供应正常。</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劳务与补助发放：支出8万元用于支付临时性劳务费用，保障各项工作人力需求；按照审核后的名单，发放5万元生活补助，缓解困难群众生活压力。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（3）第三季度（7-9月）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楷体" w:eastAsia="楷体" w:hAnsi="楷体" w:cs="楷体" w:hint="eastAsia"/>
          <w:b w:val="0"/>
          <w:bCs w:val="0"/>
          <w:spacing w:val="-4"/>
          <w:sz w:val="32"/>
          <w:szCs w:val="32"/>
        </w:rPr>
        <w:t xml:space="preserve">技能培训实施：安排20万元用于举办技能培训、农业技术讲座等活动。开展3次技能培训，每次预算5万元，包含培训场地租赁、培训师资费用等；举办2次农业技术讲座，每次预算2.5万元，用于专家聘请、资料印刷等，提升村民就业和农业生产能力。</w:t>
      </w:r>
      <w:r>
        <w:rPr>
          <w:rFonts w:ascii="楷体" w:eastAsia="楷体" w:hAnsi="楷体" w:cs="楷体" w:hint="eastAsia"/>
          <w:b w:val="0"/>
          <w:bCs w:val="0"/>
          <w:spacing w:val="-4"/>
          <w:sz w:val="32"/>
          <w:szCs w:val="32"/>
        </w:rPr>
        <w:br/>
      </w:r>
      <w:r>
        <w:rPr>
          <w:rStyle w:val="Strong"/>
          <w:rFonts w:eastAsia="楷体" w:cs="Times New Roman" w:hint="eastAsia"/>
          <w:b w:val="0"/>
          <w:bCs w:val="0"/>
          <w:spacing w:val="-4"/>
          <w:sz w:val="32"/>
          <w:szCs w:val="32"/>
          <w:lang w:val="en-US" w:eastAsia="zh-CN"/>
        </w:rPr>
        <w:t xml:space="preserve">    </w:t>
      </w:r>
      <w:r>
        <w:rPr>
          <w:rStyle w:val="Strong"/>
          <w:rFonts w:ascii="楷体" w:eastAsia="楷体" w:hAnsi="楷体" w:cs="楷体" w:hint="eastAsia"/>
          <w:b w:val="0"/>
          <w:bCs w:val="0"/>
          <w:spacing w:val="-4"/>
          <w:sz w:val="32"/>
          <w:szCs w:val="32"/>
        </w:rPr>
        <w:t xml:space="preserve">费用管理与评估：投入8万元用于办公费用及设备维护，对办公设备进行全面检查和保养；对公务用车运行维护费和通讯费进行核算与管控，确保费用在预算范围内合理使用。对项目资金使用情况进行中期评估，根据评估结果调整后续资金使用计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（4）第四季度（10-12月）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文化活动举办：</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投入15万元举办年度综合性文化活动，如乡村文化节等，丰富村民精神文化生活，增强乡村凝聚力。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费用结算与总结：结算全年剩余办公费、水电费、租赁费等费用，确保不超预算。对全年劳务费用和生活补助发放情况进行核对与总结。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绩效自评：全面梳理项目执行情况，对照预算和绩效目标进行自评，形成详细报告，为下一年度项目开展提供经验参考，提升资金使用效益。</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rPr>
        <w:t xml:space="preserve">二、绩效评价工作开展情况</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（一）绩效评价目的、对象和范围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1.绩效评价完整性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本项目预算绩效评价报告编制时，严格遵循</w:t>
      </w:r>
      <w:r>
        <w:rPr>
          <w:rStyle w:val="Strong"/>
          <w:rFonts w:ascii="楷体" w:eastAsia="楷体" w:hAnsi="楷体" w:cs="楷体" w:hint="eastAsia"/>
          <w:b w:val="0"/>
          <w:bCs w:val="0"/>
          <w:spacing w:val="-4"/>
          <w:sz w:val="32"/>
          <w:szCs w:val="32"/>
        </w:rPr>
        <w:t xml:space="preserve">《中华人民共和国预算法》</w:t>
      </w:r>
      <w:r>
        <w:rPr>
          <w:rStyle w:val="Strong"/>
          <w:rFonts w:ascii="楷体" w:eastAsia="楷体" w:hAnsi="楷体" w:cs="楷体" w:hint="eastAsia"/>
          <w:b w:val="0"/>
          <w:bCs w:val="0"/>
          <w:spacing w:val="-4"/>
          <w:sz w:val="32"/>
          <w:szCs w:val="32"/>
        </w:rPr>
        <w:t xml:space="preserve">及地方关于财政支出绩效评价的相关法规、标准。从项目预算编制的科学合理性、执行的合规性，到项目完成后的成果效益，进行全面梳理与评估，保证评价内容完整、准确。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楷体" w:eastAsia="楷体" w:hAnsi="楷体" w:cs="楷体" w:hint="eastAsia"/>
          <w:b w:val="0"/>
          <w:bCs w:val="0"/>
          <w:spacing w:val="-4"/>
          <w:sz w:val="32"/>
          <w:szCs w:val="32"/>
        </w:rPr>
        <w:t xml:space="preserve">评价指标体系构建紧扣项目特性，围绕保障村级组织运转和服务群众的目标及预期成果设定。选取涵盖经济效益、社会效益等维度的关键指标。各指标评价标准清晰明确，以村民满意度调查得分80分为达标线；数据来源可靠，财务数据取自项目专项</w:t>
      </w:r>
      <w:r>
        <w:rPr>
          <w:rStyle w:val="Strong"/>
          <w:rFonts w:ascii="Times New Roman" w:eastAsia="楷体" w:hAnsi="Times New Roman" w:cs="Times New Roman" w:hint="default"/>
          <w:b w:val="0"/>
          <w:bCs w:val="0"/>
          <w:spacing w:val="-4"/>
          <w:sz w:val="32"/>
          <w:szCs w:val="32"/>
        </w:rPr>
        <w:t xml:space="preserve">账目，服务覆盖范围数据源于各村工作记录，确保评价结果客观、可追溯。</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数据收集运用实地调研、数据分析等多种科学方法。实地走访新地乡各村庄，查看村级组织办公及服务设施状况；深入分析项目资金使用明细、活动开展频次等数据。运用专业统计软件进行分析，严格把控数据质量，对异常和缺失数据通过多方核实、补充资料等方式处理，保障数据真实有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报告撰写遵循规范格式，结构清晰。先介绍项目背景、目标和140.29万元预算安排概况，再详述评价指标体系、方法和数据来源，为评价奠定基础。接着对各项绩效指标完成情况深入分析，指出项目执行中的问题与不足，如部分活动参与度不高、个别资金使用效率低等，并提出针对性改进建议。最后综合评价项目绩效，给出结论并为后续工作提供参考，为项目持续优化和管理决策提供有力支撑。未来，我们将持续完善评价体系，提升评价工作质量，更好服务项目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2.绩效评价的目的</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（1）评估项目实施效果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楷体" w:eastAsia="楷体" w:hAnsi="楷体" w:cs="楷体" w:hint="eastAsia"/>
          <w:b w:val="0"/>
          <w:bCs w:val="0"/>
          <w:spacing w:val="-4"/>
          <w:sz w:val="32"/>
          <w:szCs w:val="32"/>
        </w:rPr>
        <w:t xml:space="preserve">系统分析项目预算执行情况和各项绩效目标达成度，全面、客观地评估2024年项目在新地乡的实施成效，涵盖经济、社会等多维度指标，为项目后续调整优化提供科学依据。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（2）提升资源利用效率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w:t>
      </w:r>
      <w:r>
        <w:rPr>
          <w:rStyle w:val="Strong"/>
          <w:rFonts w:ascii="Times New Roman" w:eastAsia="楷体" w:hAnsi="Times New Roman" w:cs="Times New Roman" w:hint="default"/>
          <w:b w:val="0"/>
          <w:bCs w:val="0"/>
          <w:spacing w:val="-4"/>
          <w:sz w:val="30"/>
          <w:szCs w:val="30"/>
        </w:rPr>
        <w:t xml:space="preserve">强化项</w:t>
      </w:r>
      <w:r>
        <w:rPr>
          <w:rStyle w:val="Strong"/>
          <w:rFonts w:ascii="Times New Roman" w:eastAsia="楷体" w:hAnsi="Times New Roman" w:cs="Times New Roman" w:hint="default"/>
          <w:b w:val="0"/>
          <w:bCs w:val="0"/>
          <w:spacing w:val="-4"/>
          <w:sz w:val="32"/>
          <w:szCs w:val="32"/>
        </w:rPr>
        <w:t xml:space="preserve">目管理责任</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（4）为决策提供支持</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（5）促进项目持续改进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3.绩效评价的对象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本项目预算绩效评价报告的评价对象是2024年裕民县新地乡村级组织运转经费和服务群众经费项目及其预算执行情况。该项目由裕民县新地乡人民政府负责实施，旨在保障新地乡村级组织正常运转，提升其服务群众能力，开展各类公共服务活动，如组织文化活动、保障困难群众生活等，促进乡村和谐发展。项目预算涵盖2024年1月1日至12月31日的全部资金投入与支出，涉及资金总额为140.21万元。</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4.绩效评价的范围</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本项目预算绩效评价报告的评价范围广泛而全面，涵盖了从项目立项至评价时点期间的所有关键预算活动和财务流程。</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项目预算编制与执行：审查项目预算编制是否依据新地乡村级组织实际需求和发展规划，评估其合理性和科学性。跟踪预算执行情况，分析执行进度是否符合计划，以及预算调整的原因和对项目实施的影响。</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资金管理：分析项目资金在各村之间的分配是否公平合理，是否依据实际需求进行精准分配。检查资金使用是否合规，有无违规挪用、浪费现象。审查资金监管机制是否健全，是否有效监控资金流向，确保资金使用透明、安全。</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项目实施进度与产出：评估项目是否按照预定计划顺利推进，各项任务是否按时完成。统计项目产出的数量，例如组织服务群众活动的场次、发放生活补助的人数等；考量产出质量，如活动的满意度、补助发放的准确性；关注产出的时效性，判断是否及时满足了村民需求。</w:t>
      </w:r>
    </w:p>
    <w:p>
      <w:pPr>
        <w:keepNext w:val="0"/>
        <w:keepLines w:val="0"/>
        <w:pageBreakBefore w:val="0"/>
        <w:widowControl w:val="0"/>
        <w:numPr>
          <w:ilvl w:val="0"/>
          <w:numId w:val="4"/>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社会影响：考察项目对新地乡社会层面产生的综合影响。主要评估村民对村级组织服务的满意度是否有所提升，乡村的凝聚力和和谐氛围是否得到增强。分析项目是否促进了乡村公共服务的均等化，是否缩小了不同村庄之间的服务差距，提升了整体社会公平性。由于本项目不涉及对生态环境的直接影响，暂不考虑生态效益方面的评价。</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（二）绩效评价原则、评价指标体系、评价方法、评价标准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1.绩效评价原则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本次项目绩效评价遵循以下基本原则：</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科学公正。绩效评价应当运用科学合理的方法，按照规范的程序，对项目绩效进行客观、公正的反映。</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统筹兼顾。单位自评、部门评价和财政评价应职责明确，各有侧重，相互衔接。单位自评应由项目单位自主实施，即“谁支出、谁自评”。部门评价和财政评价应在单位自评的基础上开展。</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激励约束。绩效评价结果应与预算安排、政策调整、改进管理实质性挂钩，体现奖优罚劣和激励相容导向，有效要安排、低效要压减、无效要问责。</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公开透明。绩效评价结果应依法依规公开，并自觉接受社会监督。</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2.评价指标体系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绩效评价框架是开展绩效评价的核心。绩效评价框架包括评价准则、关键评价问题、评价指标、数据来源、数据收集方法等。指标体系建立过程如下：</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（1）确定评价指标</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（2）确定权重</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楷体" w:eastAsia="楷体" w:hAnsi="楷体" w:cs="楷体" w:hint="eastAsia"/>
          <w:b w:val="0"/>
          <w:bCs w:val="0"/>
          <w:spacing w:val="-4"/>
          <w:sz w:val="32"/>
          <w:szCs w:val="32"/>
        </w:rPr>
        <w:t xml:space="preserve">确定各个指标相对于项目总体绩效的权重分值。在绩效评价指标体系中，项目决策权重为20分，项目过程权重为20分，项目产出权重为40分，项目效益权重为20分。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（3）确定指标标准值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指标标准值是绩效评价指标的尺度，既要反映同类项目的先进水平，又要符合项目的实际绩效水平。具体采用计划标准等确定此次绩效评价指标标准值。</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绩效评价总分值100分，根据综合评分结果，90（含）-100分为优、80（含）-90分为良、60（含）-80分为中、60分以下为差。</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具体评价指标体系详情见附件1</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3.绩效评价方法</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绩效评价从项目决策、项目过程、项目产出、项目效益四个维度进行评价。评价对象为项目目标实施情况，评价核心为资金的支出完成情况和项目的产出效益。本次评价指标中，既有定性指标又有定量指标，各类指标因考核内容不同和客观标准不同存在较大差异，因此核定具体指标时采用了多种评价方法，具体如下：</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成本效益分析法：运用成本效益分析法，将项目投入的140.21万元资金与所产生的各项效益进行关联性分析。通过对比资金投入与村级组织运转效率提升、服务群众数量增加、村民满意度提高等产出效益，能够清晰地了解项目资金的使用是否实现了效益最大化。例如，分析为组织文化活动投入的资金与参与活动村民的反馈及所带来的乡村文化氛围改善之间的关系，判断资金投入是否值得，从而为后续资金分配和项目决策提供依据。</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楷体" w:eastAsia="楷体" w:hAnsi="楷体" w:cs="楷体" w:hint="eastAsia"/>
          <w:b w:val="0"/>
          <w:bCs w:val="0"/>
          <w:spacing w:val="-4"/>
          <w:sz w:val="32"/>
          <w:szCs w:val="32"/>
        </w:rPr>
        <w:t xml:space="preserve">比较法：在本项目评价中，比较法具有重要作用。将</w:t>
      </w:r>
      <w:r>
        <w:rPr>
          <w:rStyle w:val="Strong"/>
          <w:rFonts w:ascii="Times New Roman" w:eastAsia="楷体" w:hAnsi="Times New Roman" w:cs="Times New Roman" w:hint="default"/>
          <w:b w:val="0"/>
          <w:bCs w:val="0"/>
          <w:spacing w:val="-4"/>
          <w:sz w:val="32"/>
          <w:szCs w:val="32"/>
        </w:rPr>
        <w:t xml:space="preserve">项目的实际实施情况与预先设定的绩效目标对比，可直观判断项目是否达到预期。如对比计划开展的服务群众活动场次与实际开展场次、计划覆盖的村庄数量与实际覆盖数量等，明确项目执行的偏差。同时，与历史情况比较，能分析项目在不同阶段的发展趋势，了解项目的改进情况。此外，将本项目与其他地区同类支出情况对比，可以借鉴优秀经验，找出自身的优势与不足，促进项目的优化提升。</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因素分析法：综合运用因素分析法，全面剖析影响项目绩效目标实现和实施效果的内外部因素。内部因素包括新地乡各村自身的组织管理能力、人员配备情况等，外部因素涉及政策环境变化、地区经济发展水平等。例如，若某个村庄的服务群众活动参与度不高，可能是内部组织宣传不到位，也可能是外部村民农忙等客观因素影响。通过分析这些因素，能更准确地找到问题根源，提出针对性的改进措施。</w:t>
      </w:r>
    </w:p>
    <w:p>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公众评判法：鉴于本项目直接服务于新地乡村民，公众评判法是获取项目真实反馈的重要途径。通过设计科学合理的公众问卷，对村民进行广泛抽样调查，了解他们对村级组织服务的满意度、对各项活动的评价以及对项目的期望。同时，邀请相关领域专家进行评估，借助专家的专业知识和经验，从专业角度对项目进行评判。综合村民和专家的意见，能更全面、客观地评价项目绩效。</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综合运用这些评价方法，能够从多个角度、不同层面全面、深入地评价2024年裕民县新地乡村级组织运转经费和服务群众经费项目的绩效情况，确保评价结果科学、客观、准确，为项目的持续改进和优化提供有力支持。</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4.评价标准</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绩效评价标准通常包括计划标准、行业标准、历史标准等，用于对绩效指标完成情况进行比较、分析、评价。本次评价主要采用了计划标准。</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spacing w:val="-4"/>
          <w:sz w:val="32"/>
          <w:szCs w:val="32"/>
        </w:rPr>
      </w:pPr>
      <w:r>
        <w:rPr>
          <w:rStyle w:val="Strong"/>
          <w:rFonts w:ascii="Times New Roman" w:eastAsia="楷体" w:hAnsi="Times New Roman" w:cs="Times New Roman" w:hint="default"/>
          <w:spacing w:val="-4"/>
          <w:sz w:val="32"/>
          <w:szCs w:val="32"/>
        </w:rPr>
        <w:t xml:space="preserve">（三）绩效评价工作过程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（1）前期准备与规划</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在启动2024年裕民县新地乡村级组织运转经费和服务群众经费项目绩效评价工作时，组建了跨专业的评价工作小组。成员包括财务工作人员及项目管理人员，以确保评价的专业性和全面性。明确评价工作旨在准确评估项目成效，提升资金使用效率，并强化管理责任。评价范围涵盖新地乡所有使用该项目资金的村级组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（2）指标体系构建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围绕项目保障村级组织运转、服务群众的目标，构建了涵盖项目决策、过程、产出、效益四个维度的绩效评价指标体系。决策维度关注立项依据和目标合理性；过程维度考察资金管理和项目执行规范性；产出维度衡量服务活动开展数量、质量等；效益维度评估村民满意度和乡村发展促进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为每个指标设定了清晰的评价标准，村民满意度达80%以上为优。并根据指标重要性分配权重，项目决策占20分、项目过程占20分、项目产出占40分、项目效益占20分，确保评价结果能准确反映项目绩效。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（3）数据收集与整理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通过多种渠道广泛收集数据，包括财务报表、项目文档、业务记录和村民反馈。在收集过程中，严格把控数据质量，对缺失或异常数据及时核实与补充。收集完成后，对数据进行分类整理，将财务、业务和反馈数据分别归类，为后续分析提供便利。</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（4）数据分析与评估</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运用专业方法对整理后的数据进行深度分析。对比实际指标完成情况与预期目标，计算达成率并综合评分，得出项目整体绩效结果。分析数据间的关联，挖掘绩效背后的原因，找出项目实施的优势与不足，如部分村庄活动丰富但资金使用效率有待提高，为改进提供依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（5）报告撰写与反馈</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按照规范格式撰写评价报告，内容包括项目背景、评价目的、指标体系、结果、问题与建议等。完成后及时向项目实施主体和相关利益方反馈，广泛征求意见，对报告进行完善，确保报告质量和实用性。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（6）后续跟踪与改进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评价报告提交后，持续跟踪项目改进措施的落实情况，定期复查评估。根据项目实施中的新情况、新问题，适时调整评价指标体系和方法，以适应项目发展需求，推动项目持续优化。</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rPr>
        <w:t xml:space="preserve">三、综合评价情况及评价结论</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（一）评价情况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本项目的综合评价建立在对项目各方面绩效进行深入剖析与评估的基础之上。从项目目标的达成情况来看，2024年裕民县新地乡村级组织运转经费和服务群众经费项目在保障村级组织正常运转和提升服务群众能力这两大关键目标上表现出色，达到了预期的标准与要求。在保障村级组织运转方面，充足的办公经费使得各村办公设备得以及时更新维护，办公环境显著改善；稳定的人员经费保障了村干部队伍的稳定性，确保各项工作有序开展。在提升服务群众能力方面，组织的各类文化活动丰富了村民的精神生活，技能培训提升了村民的就业能力和收入水平。同时，项目也在多个关键领域取得了显著的成效。在公共服务供给上，成功举办了多场文化演出、慰问走访等活动，覆盖了新地乡大部分村庄，丰富了村民的业余生活，温暖了村民的心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在项目管理方面，裕民县新地乡人民政府通过有效的规划、组织与协调，保障了项目得以顺利实施，并在预算与时间上保持了良好的控制。在预算管理上，严格按照预算安排资金使用，对每一笔支出进行严格审核，确保资金使用合理合规，全年预算执行率达到100%；在时间管理上，制定了详细的项目实施计划，明确各阶段任务和时间节点，各项工作按计划有序推进，没有出现延误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从项目效益的角度来看，本项目不仅实现了预期的社会效益，还在一定程度上对经济效益产生了积极的影响。在社会效益方面，通过开展各类服务活动，增强了村民对村级组织的信任和支持，提升了乡村的凝聚力和和谐度；在经济效益方面，技能培训帮助部分村民掌握了新的技能，实现了就业增收，同时基础设施的改善也促进了当地农业生产的发展，带动了农产品的增产增收。具体而言，村民对村级组织服务的满意度大幅提升，较项目实施前提高了3%，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综上所述，2024年裕民县新地乡村级组织运转经费和服务群众经费项目在绩效评价中表现出色，达到了项目的预期目标，并在多个方面取得了显著的成效。</w:t>
      </w:r>
      <w:r>
        <w:cr/>
      </w:r>
      <w:r>
        <w:rPr>
          <w:rStyle w:val="Strong"/>
          <w:rFonts w:ascii="楷体" w:eastAsia="楷体" w:hAnsi="楷体" w:cs="楷体" w:hint="eastAsia"/>
          <w:b w:val="0"/>
          <w:bCs w:val="0"/>
          <w:spacing w:val="-4"/>
          <w:sz w:val="32"/>
          <w:szCs w:val="32"/>
        </w:rPr>
        <w:t xml:space="preserve">（二）评价结论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85分，属于“优”。其中，项目决策类指标权重为20分，得分为20分，得分率为100%。项目过程类指标权重为20分，得分为19分，得分率为95%。项目产出类指标权重为40分，得分为36分，得分率为90%。项目效益类指标权重为20分，得分为20分，得分率为100%。具体打分情况详见：附件1综合评分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center"/>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表1综合评分表</w:t>
      </w:r>
      <w:r>
        <w:cr/>
      </w:r>
    </w:p>
    <w:tbl>
      <w:tblPr>
        <w:tblStyle w:val="TableGrid"/>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2201"/>
        <w:gridCol w:w="2897"/>
        <w:gridCol w:w="1507"/>
        <w:gridCol w:w="2202"/>
      </w:tblGrid>
      <w:tr>
        <w:tblPrEx>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trPr>
        <w:tc>
          <w:tcPr>
            <w:tcW w:w="2201"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p>
        </w:tc>
        <w:tc>
          <w:tcPr>
            <w:tcW w:w="289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r>
              <w:rPr>
                <w:rStyle w:val="Strong"/>
                <w:rFonts w:ascii="Times New Roman" w:eastAsia="楷体" w:hAnsi="Times New Roman" w:cs="Times New Roman" w:hint="default"/>
                <w:b w:val="0"/>
                <w:bCs w:val="0"/>
                <w:spacing w:val="-4"/>
                <w:sz w:val="32"/>
                <w:szCs w:val="32"/>
                <w:vertAlign w:val="baseline"/>
                <w:lang w:eastAsia="zh-CN"/>
              </w:rPr>
              <w:t xml:space="preserve">一级指标权重分</w:t>
            </w:r>
          </w:p>
        </w:tc>
        <w:tc>
          <w:tcPr>
            <w:tcW w:w="150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bookmarkStart w:id="0" w:name="_GoBack"/>
            <w:bookmarkEnd w:id="0"/>
            <w:r>
              <w:rPr>
                <w:rStyle w:val="Strong"/>
                <w:rFonts w:ascii="Times New Roman" w:eastAsia="楷体" w:hAnsi="Times New Roman" w:cs="Times New Roman" w:hint="default"/>
                <w:b w:val="0"/>
                <w:bCs w:val="0"/>
                <w:spacing w:val="-4"/>
                <w:sz w:val="32"/>
                <w:szCs w:val="32"/>
                <w:vertAlign w:val="baseline"/>
                <w:lang w:eastAsia="zh-CN"/>
              </w:rPr>
              <w:t xml:space="preserve">得分</w:t>
            </w:r>
          </w:p>
        </w:tc>
        <w:tc>
          <w:tcPr>
            <w:tcW w:w="2202"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r>
              <w:rPr>
                <w:rStyle w:val="Strong"/>
                <w:rFonts w:ascii="Times New Roman" w:eastAsia="楷体" w:hAnsi="Times New Roman" w:cs="Times New Roman" w:hint="default"/>
                <w:b w:val="0"/>
                <w:bCs w:val="0"/>
                <w:spacing w:val="-4"/>
                <w:sz w:val="32"/>
                <w:szCs w:val="32"/>
                <w:vertAlign w:val="baseline"/>
                <w:lang w:eastAsia="zh-CN"/>
              </w:rPr>
              <w:t xml:space="preserve">得分率</w:t>
            </w:r>
          </w:p>
        </w:tc>
      </w:tr>
      <w:tr>
        <w:tblPrEx>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trPr>
        <w:tc>
          <w:tcPr>
            <w:tcW w:w="2201"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r>
              <w:rPr>
                <w:rStyle w:val="Strong"/>
                <w:rFonts w:ascii="Times New Roman" w:eastAsia="楷体" w:hAnsi="Times New Roman" w:cs="Times New Roman" w:hint="default"/>
                <w:b w:val="0"/>
                <w:bCs w:val="0"/>
                <w:spacing w:val="-4"/>
                <w:sz w:val="32"/>
                <w:szCs w:val="32"/>
                <w:vertAlign w:val="baseline"/>
                <w:lang w:eastAsia="zh-CN"/>
              </w:rPr>
              <w:t xml:space="preserve">项目决策</w:t>
            </w:r>
          </w:p>
        </w:tc>
        <w:tc>
          <w:tcPr>
            <w:tcW w:w="289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20</w:t>
            </w:r>
          </w:p>
        </w:tc>
        <w:tc>
          <w:tcPr>
            <w:tcW w:w="150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20</w:t>
            </w:r>
          </w:p>
        </w:tc>
        <w:tc>
          <w:tcPr>
            <w:tcW w:w="2202"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100</w:t>
            </w:r>
            <w:r>
              <w:rPr>
                <w:rStyle w:val="Strong"/>
                <w:rFonts w:ascii="Times New Roman" w:eastAsia="楷体" w:hAnsi="Times New Roman" w:cs="Times New Roman" w:hint="default"/>
                <w:b w:val="0"/>
                <w:bCs w:val="0"/>
                <w:spacing w:val="-4"/>
                <w:sz w:val="32"/>
                <w:szCs w:val="32"/>
              </w:rPr>
              <w:t xml:space="preserve">%</w:t>
            </w:r>
          </w:p>
        </w:tc>
      </w:tr>
      <w:tr>
        <w:tblPrEx>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trPr>
        <w:tc>
          <w:tcPr>
            <w:tcW w:w="2201" w:type="dxa"/>
            <w:vAlign w:val="top"/>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r>
              <w:rPr>
                <w:rStyle w:val="Strong"/>
                <w:rFonts w:ascii="Times New Roman" w:eastAsia="楷体" w:hAnsi="Times New Roman" w:cs="Times New Roman" w:hint="default"/>
                <w:b w:val="0"/>
                <w:bCs w:val="0"/>
                <w:spacing w:val="-4"/>
                <w:sz w:val="32"/>
                <w:szCs w:val="32"/>
                <w:vertAlign w:val="baseline"/>
                <w:lang w:eastAsia="zh-CN"/>
              </w:rPr>
              <w:t xml:space="preserve">项目过程</w:t>
            </w:r>
          </w:p>
        </w:tc>
        <w:tc>
          <w:tcPr>
            <w:tcW w:w="289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20</w:t>
            </w:r>
          </w:p>
        </w:tc>
        <w:tc>
          <w:tcPr>
            <w:tcW w:w="150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19</w:t>
            </w:r>
          </w:p>
        </w:tc>
        <w:tc>
          <w:tcPr>
            <w:tcW w:w="2202"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95</w:t>
            </w:r>
            <w:r>
              <w:rPr>
                <w:rStyle w:val="Strong"/>
                <w:rFonts w:ascii="Times New Roman" w:eastAsia="楷体" w:hAnsi="Times New Roman" w:cs="Times New Roman" w:hint="default"/>
                <w:b w:val="0"/>
                <w:bCs w:val="0"/>
                <w:spacing w:val="-4"/>
                <w:sz w:val="32"/>
                <w:szCs w:val="32"/>
              </w:rPr>
              <w:t xml:space="preserve">%</w:t>
            </w:r>
          </w:p>
        </w:tc>
      </w:tr>
      <w:tr>
        <w:tblPrEx>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trPr>
        <w:tc>
          <w:tcPr>
            <w:tcW w:w="2201" w:type="dxa"/>
            <w:vAlign w:val="top"/>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eastAsia="zh-CN"/>
              </w:rPr>
            </w:pPr>
            <w:r>
              <w:rPr>
                <w:rStyle w:val="Strong"/>
                <w:rFonts w:ascii="Times New Roman" w:eastAsia="楷体" w:hAnsi="Times New Roman" w:cs="Times New Roman" w:hint="default"/>
                <w:b w:val="0"/>
                <w:bCs w:val="0"/>
                <w:spacing w:val="-4"/>
                <w:sz w:val="32"/>
                <w:szCs w:val="32"/>
                <w:vertAlign w:val="baseline"/>
                <w:lang w:eastAsia="zh-CN"/>
              </w:rPr>
              <w:t xml:space="preserve">项目产出</w:t>
            </w:r>
          </w:p>
        </w:tc>
        <w:tc>
          <w:tcPr>
            <w:tcW w:w="289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40</w:t>
            </w:r>
          </w:p>
        </w:tc>
        <w:tc>
          <w:tcPr>
            <w:tcW w:w="150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36</w:t>
            </w:r>
          </w:p>
        </w:tc>
        <w:tc>
          <w:tcPr>
            <w:tcW w:w="2202"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90</w:t>
            </w:r>
            <w:r>
              <w:rPr>
                <w:rStyle w:val="Strong"/>
                <w:rFonts w:ascii="Times New Roman" w:eastAsia="楷体" w:hAnsi="Times New Roman" w:cs="Times New Roman" w:hint="default"/>
                <w:b w:val="0"/>
                <w:bCs w:val="0"/>
                <w:spacing w:val="-4"/>
                <w:sz w:val="32"/>
                <w:szCs w:val="32"/>
              </w:rPr>
              <w:t xml:space="preserve">%</w:t>
            </w:r>
          </w:p>
        </w:tc>
      </w:tr>
      <w:tr>
        <w:tblPrEx>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trPr>
        <w:tc>
          <w:tcPr>
            <w:tcW w:w="2201" w:type="dxa"/>
            <w:vAlign w:val="top"/>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rPr>
            </w:pPr>
            <w:r>
              <w:rPr>
                <w:rStyle w:val="Strong"/>
                <w:rFonts w:ascii="Times New Roman" w:eastAsia="楷体" w:hAnsi="Times New Roman" w:cs="Times New Roman" w:hint="default"/>
                <w:b w:val="0"/>
                <w:bCs w:val="0"/>
                <w:spacing w:val="-4"/>
                <w:sz w:val="32"/>
                <w:szCs w:val="32"/>
                <w:vertAlign w:val="baseline"/>
                <w:lang w:eastAsia="zh-CN"/>
              </w:rPr>
              <w:t xml:space="preserve">项目效益</w:t>
            </w:r>
          </w:p>
        </w:tc>
        <w:tc>
          <w:tcPr>
            <w:tcW w:w="289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20</w:t>
            </w:r>
          </w:p>
        </w:tc>
        <w:tc>
          <w:tcPr>
            <w:tcW w:w="150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10</w:t>
            </w:r>
          </w:p>
        </w:tc>
        <w:tc>
          <w:tcPr>
            <w:tcW w:w="2202"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50</w:t>
            </w:r>
            <w:r>
              <w:rPr>
                <w:rStyle w:val="Strong"/>
                <w:rFonts w:ascii="Times New Roman" w:eastAsia="楷体" w:hAnsi="Times New Roman" w:cs="Times New Roman" w:hint="default"/>
                <w:b w:val="0"/>
                <w:bCs w:val="0"/>
                <w:spacing w:val="-4"/>
                <w:sz w:val="32"/>
                <w:szCs w:val="32"/>
              </w:rPr>
              <w:t xml:space="preserve">%</w:t>
            </w:r>
          </w:p>
        </w:tc>
      </w:tr>
      <w:tr>
        <w:tblPrEx>
          <w:tblW w:w="880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auto" w:val="0"/>
        </w:trPr>
        <w:tc>
          <w:tcPr>
            <w:tcW w:w="2201" w:type="dxa"/>
            <w:vAlign w:val="top"/>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rPr>
            </w:pPr>
            <w:r>
              <w:rPr>
                <w:rStyle w:val="Strong"/>
                <w:rFonts w:ascii="Times New Roman" w:eastAsia="楷体" w:hAnsi="Times New Roman" w:cs="Times New Roman" w:hint="default"/>
                <w:b w:val="0"/>
                <w:bCs w:val="0"/>
                <w:spacing w:val="-4"/>
                <w:sz w:val="32"/>
                <w:szCs w:val="32"/>
                <w:vertAlign w:val="baseline"/>
                <w:lang w:eastAsia="zh-CN"/>
              </w:rPr>
              <w:t xml:space="preserve">合计</w:t>
            </w:r>
          </w:p>
        </w:tc>
        <w:tc>
          <w:tcPr>
            <w:tcW w:w="289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100</w:t>
            </w:r>
          </w:p>
        </w:tc>
        <w:tc>
          <w:tcPr>
            <w:tcW w:w="1507"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85</w:t>
            </w:r>
          </w:p>
        </w:tc>
        <w:tc>
          <w:tcPr>
            <w:tcW w:w="2202" w:type="dxa"/>
          </w:tcPr>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Style w:val="Strong"/>
                <w:rFonts w:ascii="Times New Roman" w:eastAsia="楷体" w:hAnsi="Times New Roman" w:cs="Times New Roman" w:hint="default"/>
                <w:b w:val="0"/>
                <w:bCs w:val="0"/>
                <w:spacing w:val="-4"/>
                <w:sz w:val="32"/>
                <w:szCs w:val="32"/>
                <w:vertAlign w:val="baseline"/>
                <w:lang w:val="en-US" w:eastAsia="zh-CN"/>
              </w:rPr>
            </w:pPr>
            <w:r>
              <w:rPr>
                <w:rStyle w:val="Strong"/>
                <w:rFonts w:ascii="Times New Roman" w:eastAsia="楷体" w:hAnsi="Times New Roman" w:cs="Times New Roman" w:hint="default"/>
                <w:b w:val="0"/>
                <w:bCs w:val="0"/>
                <w:spacing w:val="-4"/>
                <w:sz w:val="32"/>
                <w:szCs w:val="32"/>
                <w:vertAlign w:val="baseline"/>
                <w:lang w:val="en-US" w:eastAsia="zh-CN"/>
              </w:rPr>
              <w:t xml:space="preserve">85</w:t>
            </w:r>
            <w:r>
              <w:rPr>
                <w:rStyle w:val="Strong"/>
                <w:rFonts w:ascii="Times New Roman" w:eastAsia="楷体" w:hAnsi="Times New Roman" w:cs="Times New Roman" w:hint="default"/>
                <w:b w:val="0"/>
                <w:bCs w:val="0"/>
                <w:spacing w:val="-4"/>
                <w:sz w:val="32"/>
                <w:szCs w:val="32"/>
              </w:rPr>
              <w:t xml:space="preserve">%</w:t>
            </w:r>
          </w:p>
        </w:tc>
      </w:tr>
    </w:tbl>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黑体" w:hAnsi="Times New Roman" w:cs="Times New Roman" w:hint="default"/>
        </w:rPr>
      </w:pPr>
      <w:r>
        <w:rPr>
          <w:rStyle w:val="Strong"/>
          <w:rFonts w:ascii="Times New Roman" w:eastAsia="黑体" w:hAnsi="Times New Roman" w:cs="Times New Roman" w:hint="default"/>
          <w:b w:val="0"/>
          <w:spacing w:val="-4"/>
          <w:sz w:val="32"/>
          <w:szCs w:val="32"/>
        </w:rPr>
        <w:t xml:space="preserve">四、绩效评价指标分析</w:t>
      </w:r>
      <w:r>
        <w:rPr>
          <w:rStyle w:val="Strong"/>
          <w:rFonts w:ascii="Times New Roman" w:eastAsia="黑体" w:hAnsi="Times New Roman" w:cs="Times New Roman" w:hint="default"/>
        </w:rPr>
        <w:t xml:space="preserve"> </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w:t>
      </w:r>
      <w:r>
        <w:rPr>
          <w:rStyle w:val="Strong"/>
          <w:rFonts w:ascii="Times New Roman" w:eastAsia="楷体" w:hAnsi="Times New Roman" w:cs="Times New Roman" w:hint="default"/>
          <w:spacing w:val="-4"/>
          <w:sz w:val="32"/>
          <w:szCs w:val="32"/>
        </w:rPr>
        <w:t xml:space="preserve">项目决策情况</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项目决策类指标包括项目立项、绩效目标和资金投入三方面的内容，由6个三级指标构成，权重分值为20分，实际得分20分，得分率为100%。</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1.项目立项</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（1）立项依据充分性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2024年裕民县新地乡村级组织运转经费和服务群众经费项目的立项具有坚实的基础。从政策法规层面来看，它紧密贴合国家加强农村基层组织建设、推动乡村振兴战略实施的相关法律法规及发展政策。在乡村发展进程中，强化村级组织的运转效能、提升其服务群众能力是关键环节，该项目的设立完全契合这一行业规划要求。</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围绕新地乡本年度的工作重点和整体工作计划，项目科学合理地制定了经费预算。新地乡致力于提升乡村治理水平、改善民生，此项目正是实现这些目标的重要支撑，属于公共财政应重点支持的范畴。并且，经过全面梳理和排查，该项目与部门内部其他相关项目不存在重复建设或功能重叠的情况，有效避免了资源浪费。部门关于发展规划及职能的各类文件等资料归档完整，为项目立项的合理性提供了充分的依据和有力的支撑，确保项目在实施过程中有清晰的方向指引和政策保障。</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（2）立项程序规范性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该项目在申请和设立过程中，严格遵循相关要求开展各项工作。在准备申报材料时，严格按照审批流程，精心准备了齐全且符合规范的文件和材料，确保申报信息的准确性和完整性。依据可靠的决算依据，认真编制了详细的工作计划和经费预算，为项目实施提供了明确的行动指南和资金规划。</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在预算制定过程中，项目团队与部门项目分管领导进行了充分的沟通与研讨，经过多轮筛选和评估，最终确定了经费预算计划和预算方案。在项目审批环节，提交的审批文件和材料均符合相关要求，并且在项目启动前，进行了必要的可行性研究、专家论证、风险评估、绩效评估以及集体决策等程序。这些步骤确保了项目在启动前经过全面、深入的分析和评估，有效降低了项目实施过程中的风险，保障了立项程序的规范性，为项目的顺利开展奠定了坚实基础。</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2.绩效目标</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（1）绩效目标合理性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在项目开展之初，结合新地乡的实际情况和工作需求设定了科学合理的绩效目标。这些目标的设定有着充分的依据，充分考虑了当地村级组织的现状以及村民的实际需求，符合客观实际情况。绩效目标能够准确反映和有效考核项目绩效与项目实施之间的相符程度，确保项目实施的方向与预期目标一致。</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依据设定的绩效目标进一步细化出的绩效指标清晰明确、具体细化且具有可衡量性。例如，在衡量服务群众活动开展效果时，设定了活动参与人数、村民满意度等具体指标，能够直观地反映和考核项目绩效目标的明细化情况。绩效目标表经过了严格的审核，确保其与实际工作内容紧密相关，不存在脱节现象。预算的安排也与确定的项目投资额精准匹配，对项目任务进行了详细分解，将预算合理分配到各个具体任务中，确保每一项工作都有相应的资金支持。同时，项目预期产出的效益及效果符合新地乡当前的发展水平和正常的业绩水平，具有可实现性和可操作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（2）绩效指标明确性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项目明确设定了预期产出效益和效果，并将这些目标细致地分解为具体的绩效指标。在产出方面，明确规定了如组织文化活动的场次、培训村民的人次、维修基础设施的数量等指标；在效益方面，设定了村民满意度提升的具体比例、村级组织工作效率提高的量化标准等。这些绩效目标与项目目标任务数紧密对应，每一项任务都有相应的绩效指标进行衡量。而且，绩效目标所设定的绩效指标清晰易懂、细化程度高且可通过具体数据进行衡量，能够准确地反映项目的实施效果，便于在项目实施过程中进行监控和评估，也为项目完成后的绩效评价提供了明确的标准和依据。</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3.资金投入</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（1）预算编制科学性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2024年裕民县新地乡村级组织运转经费和服务群众经费项目的预算编制展现出高度的科学性与严谨性。在编制前期，进行了全面而深入的成本估算工作。工作人员对项目涉及的各个方面，包括办公设备购置、人员费用、服务活动开展费用等进行了详细的梳理和精确的计算，确保项目所需的每一项资源都能得到合理预估与妥善分配。</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预算编制紧密围绕项目的特点和新地乡的实际情况展开。考虑到各村的规模差异、人口分布以及实际需求的不同，对不同阶段、不同任务的资金需求进行了针对性的分析与计算。例如，对于人口较多、服务需求较大的村庄，在办公费、劳务费等方面适当增加预算；对于基础设施较为薄弱的村庄，在维修（护）费、租赁费上给予倾斜。同时，预算编制充分遵循成本控制与效益最大化原则，通过优化资源配置，对办公用品集中采购降低成本，合理调配劳务人员避免人力资源浪费，提高资金使用效率，确保项目在有限预算内实现最大的经济效益与社会效益。此外，编制过程中还充分考虑了物价波动、突发情况等风险因素，在预算中预留了一定比例的应急资金，以应对项目实施过程中的不确定性，保障项目顺利推进。</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（2）资金分配合理性</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项目的资金分配严格遵循公平、公正、透明原则，确保资源合理配置与高效利用。在分配过程中，以各村实际需求与项目目标为导向，通过实地调研、数据统计等方式，精准掌握各村在村级组织运转和服务群众方面的资金缺口。对于承担较多公共服务职能、服务群众任务较重的村庄，优先保障其在办公、交通、劳务等方面的资金需求；对于经济基础薄弱、困难群体较多的村庄，加大生活补助资金的分配力度，确保惠民政策落实到位。</w:t>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lang w:eastAsia="zh-CN"/>
        </w:rPr>
      </w:pPr>
      <w:r>
        <w:rPr>
          <w:rStyle w:val="Strong"/>
          <w:rFonts w:ascii="Times New Roman" w:eastAsia="楷体" w:hAnsi="Times New Roman" w:cs="Times New Roman" w:hint="default"/>
          <w:b w:val="0"/>
          <w:bCs w:val="0"/>
          <w:spacing w:val="-4"/>
          <w:sz w:val="32"/>
          <w:szCs w:val="32"/>
        </w:rPr>
        <w:t xml:space="preserve">资金分配紧密结合项目不同阶段的工作重点。在项目前期，重点保障办公设备采购、场地租赁等基础工作资金；中期优先支持文化活动开展、技能培训等服务群众项目；后期则侧重资金使用的监督管理和绩效评估。同时，注重资金的均衡分配，避免出现部分村庄资金闲置，而部分村庄资金短缺的情况。此外，针对可能因政策调整、突发事件等导致的资金需求变化，建立了灵活的资金调整机制，及时对资金分配方案进行优化，确保资金分配既符合项目实际情况，又能实现效益最大化，为项目成功实施提供有力保障。</w:t>
      </w:r>
      <w:r>
        <w:rPr>
          <w:rStyle w:val="Strong"/>
          <w:rFonts w:ascii="Times New Roman" w:eastAsia="楷体" w:hAnsi="Times New Roman" w:cs="Times New Roman" w:hint="default"/>
          <w:b w:val="0"/>
          <w:bCs w:val="0"/>
          <w:spacing w:val="-4"/>
          <w:sz w:val="32"/>
          <w:szCs w:val="32"/>
          <w:lang w:eastAsia="zh-CN"/>
        </w:rPr>
        <w:tab/>
      </w:r>
    </w:p>
    <w:p>
      <w:pPr>
        <w:keepNext w:val="0"/>
        <w:keepLines w:val="0"/>
        <w:pageBreakBefore w:val="0"/>
        <w:widowControl w:val="0"/>
        <w:tabs>
          <w:tab w:val="center" w:pos="4295"/>
        </w:tabs>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w:t>
      </w:r>
      <w:r>
        <w:rPr>
          <w:rFonts w:ascii="Times New Roman" w:eastAsia="楷体" w:hAnsi="Times New Roman" w:cs="Times New Roman" w:hint="default"/>
          <w:b/>
          <w:spacing w:val="-4"/>
          <w:sz w:val="32"/>
          <w:szCs w:val="32"/>
          <w:lang w:val="en-US" w:eastAsia="zh-CN"/>
        </w:rPr>
        <w:t xml:space="preserve">二</w:t>
      </w:r>
      <w:r>
        <w:rPr>
          <w:rFonts w:ascii="Times New Roman" w:eastAsia="楷体" w:hAnsi="Times New Roman" w:cs="Times New Roman" w:hint="default"/>
          <w:b/>
          <w:spacing w:val="-4"/>
          <w:sz w:val="32"/>
          <w:szCs w:val="32"/>
        </w:rPr>
        <w:t xml:space="preserve">）</w:t>
      </w:r>
      <w:r>
        <w:rPr>
          <w:rStyle w:val="Strong"/>
          <w:rFonts w:ascii="Times New Roman" w:eastAsia="楷体" w:hAnsi="Times New Roman" w:cs="Times New Roman" w:hint="default"/>
          <w:spacing w:val="-4"/>
          <w:sz w:val="32"/>
          <w:szCs w:val="32"/>
        </w:rPr>
        <w:t xml:space="preserve">项目过程情况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项目过程类指标包括资金管理和组织实施两方面的内容，由5个三级指标构成，权重分值为20分，实际得分19分，得分率为95%。</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1.资金管理</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（1）资金到位率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楷体" w:eastAsia="楷体" w:hAnsi="楷体" w:cs="楷体" w:hint="eastAsia"/>
          <w:b w:val="0"/>
          <w:bCs w:val="0"/>
          <w:spacing w:val="-4"/>
          <w:sz w:val="32"/>
          <w:szCs w:val="32"/>
        </w:rPr>
        <w:t xml:space="preserve">本项目总投资140.21万元，财政资金及时足额到位，到位率100%，预算资金按计划进度执行。</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（2）预算执行率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预算编制较为详细，项目资金支出总体能够按照预算执行，预算资金支出140.21万元，预算执行率为100%。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（3）资金使用合规性</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项目的资金使用严格遵循了国家相关法律法规与财务制度，确保了资金的合规性与安全性。在资金使用过程中，建立了完善的财务管理体系，对资金的流动进行了全程监控与记录。从资金申请、审批到支出，均设置了多层审核机制，杜绝违规操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具体而言，资金使用坚持专款专用原则，严禁将村级组织运转经费用于与项目无关的事项，确保每一笔资金都切实服务于村级组织建设和群众服务工作。同时，加强对资金使用的审计与监督，每季度开展财务收支自查自纠工作，及时发现并纠正潜在问题。此外，在资金分配和使用时充分考虑成本效益原则，通过集中采购降低办公成本、优化劳务人员配置提高工作效率等措施，实现了项目资金的最大化利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综上所述，本项目的资金使用合规、安全，既符合国家相关法律法规与财务制度要求，又满足了项目实施的实际需要，为项目的成功实施提供了有力保障，也为项目的绩效评价奠定了坚实基础。</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2.组织实施</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（1）管理制度健全性</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项目拥有一套完善、健全的管理制度体系，为项目的成功实施提供了坚实的制度保障。项目管理制度的制定紧密结合新地乡村级组织工作特点与实际需求，涵盖了项目策划、组织、实施、监控与收尾等各个环节，形成了全流程闭环管理。</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在制度设计上，注重科学性与可操作性，明确各岗位职责与工作流程。例如，在服务群众活动组织方面，制定了从活动策划、审批到执行、反馈的详细流程，确保活动有序开展；在资金使用管理方面，细化了报销标准和审批权限，避免资金滥用。此外，项目管理制度充分考虑风险因素，针对可能出现的资金超支、活动受阻等风险，制定了相应的应对措施与预案。</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管理制度的健全性不仅体现在制度完善上，还体现在有效执行与监督上。建立了“周检查、月总结”的监督机制，定期对项目实施情况进行检查评估，通过村民意见反馈、内部考核等方式收集问题，并及时整改。同时，设立奖惩机制，对严格遵守制度、表现突出的单位和个人给予表彰奖励，对违规行为严肃处理，确保制度刚性执行。</w:t>
      </w:r>
    </w:p>
    <w:p>
      <w:pPr>
        <w:keepNext w:val="0"/>
        <w:keepLines w:val="0"/>
        <w:pageBreakBefore w:val="0"/>
        <w:widowControl w:val="0"/>
        <w:kinsoku/>
        <w:wordWrap/>
        <w:overflowPunct/>
        <w:topLinePunct w:val="0"/>
        <w:autoSpaceDE/>
        <w:autoSpaceDN/>
        <w:bidi w:val="0"/>
        <w:adjustRightInd/>
        <w:snapToGrid/>
        <w:spacing w:line="540" w:lineRule="exact"/>
        <w:ind w:left="0" w:firstLine="640" w:leftChars="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综上所述，本项目的管理制度健全、有效，既符合项目实际情况，又满足项目管理需要，为项目成功实施提供了有力保障，也为项目的绩效评价奠定了坚实基础。</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w:t>
      </w:r>
      <w:r>
        <w:rPr>
          <w:rFonts w:ascii="Times New Roman" w:eastAsia="楷体" w:hAnsi="Times New Roman" w:cs="Times New Roman" w:hint="default"/>
          <w:b/>
          <w:spacing w:val="-4"/>
          <w:sz w:val="32"/>
          <w:szCs w:val="32"/>
          <w:lang w:val="en-US" w:eastAsia="zh-CN"/>
        </w:rPr>
        <w:t xml:space="preserve">三</w:t>
      </w:r>
      <w:r>
        <w:rPr>
          <w:rFonts w:ascii="Times New Roman" w:eastAsia="楷体" w:hAnsi="Times New Roman" w:cs="Times New Roman" w:hint="default"/>
          <w:b/>
          <w:spacing w:val="-4"/>
          <w:sz w:val="32"/>
          <w:szCs w:val="32"/>
        </w:rPr>
        <w:t xml:space="preserve">）</w:t>
      </w:r>
      <w:r>
        <w:rPr>
          <w:rStyle w:val="Strong"/>
          <w:rFonts w:ascii="Times New Roman" w:eastAsia="楷体" w:hAnsi="Times New Roman" w:cs="Times New Roman" w:hint="default"/>
          <w:spacing w:val="-4"/>
          <w:sz w:val="32"/>
          <w:szCs w:val="32"/>
        </w:rPr>
        <w:t xml:space="preserve">项目产出情况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项目产出类指标包括产出数量、产出质量、产出时效、产出成本四方面的内容，由15个三级指标构成，权重分为90分，实际得分89.99分，得分率为99.99%。具体产出指标完成情况如下：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①数量指标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指标1：保障正常运转村组织个数，指标值：9个，实际完成值：9个，指标完成率100%。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指标2：各村干部在职人数，指标值：39个，实际完成值39个，指标完成率100%。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②质量指标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指标1：资金支付准确率，指标值：100%，实际完成值：100%，完成率100%。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③时效指标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指标1：资金支付及时率，指标值：100%，实际完成值：100%，完成率100%。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指标2：项目完成时间，指标值：2024年12月25日，实际完成值：2024年12月18日，完成率100%。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④经济成本指标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指标1：木乎尔村正常运转支出成本，指标值：15万元，实际完成值：14.91万元，完成率99.4%。偏差原因：报账员工作失误；改进措施：加强对报账员业务培训，提高业务素质。</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指标2：前进村正常运转支出成本，指标值：10.85万元，实际完成值：10.85万元，完成率100%。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指标3：木呼尔一村正常运转支出成本，指标值：0.86万元，实际完成值：0.86万元，完成率100%。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指标4：木呼尔二村正常运转支出成本，指标值：7.63万元，实际完成值：7.63万元，完成率100%。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指标5：新地西村正常运转支出成本，指标值：27.42万元，实际完成值：27.42万元，完成率100%。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指标6：新地南村正常运转支出成本，指标值：16.74万元，实际完成值：16.74万元，完成率100%。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指标7：新地北村正常运转支出成本，指标值：21.74万元，实际完成值：21.74万元，完成率100%。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指标8：乌尔吉也克西村正常运转支出成本，指标值：26.80万元，实际完成值：26.80万元，完成率100%。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指标9：乌尔吉也克村正常运转支出成本，指标值：13.26万元，实际完成值：13.26万元，完成率100%。</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w:t>
      </w:r>
      <w:r>
        <w:rPr>
          <w:rFonts w:ascii="Times New Roman" w:eastAsia="楷体" w:hAnsi="Times New Roman" w:cs="Times New Roman" w:hint="default"/>
          <w:b/>
          <w:spacing w:val="-4"/>
          <w:sz w:val="32"/>
          <w:szCs w:val="32"/>
          <w:lang w:val="en-US" w:eastAsia="zh-CN"/>
        </w:rPr>
        <w:t xml:space="preserve">四</w:t>
      </w:r>
      <w:r>
        <w:rPr>
          <w:rFonts w:ascii="Times New Roman" w:eastAsia="楷体" w:hAnsi="Times New Roman" w:cs="Times New Roman" w:hint="default"/>
          <w:b/>
          <w:spacing w:val="-4"/>
          <w:sz w:val="32"/>
          <w:szCs w:val="32"/>
        </w:rPr>
        <w:t xml:space="preserve">）</w:t>
      </w:r>
      <w:r>
        <w:rPr>
          <w:rStyle w:val="Strong"/>
          <w:rFonts w:ascii="Times New Roman" w:eastAsia="楷体" w:hAnsi="Times New Roman" w:cs="Times New Roman" w:hint="default"/>
          <w:spacing w:val="-4"/>
          <w:sz w:val="32"/>
          <w:szCs w:val="32"/>
        </w:rPr>
        <w:t xml:space="preserve">项目效益情况</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项目效益类指标包括项目实施效益和满意度两方面的内容，由1个三级指标构成，权重分为30分，实际得分30分，得分率为100%。具体效益指标及满意度指标完成情况如下：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1.实施效益</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①社会效益指标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指标1：保障村级工作运转正常，指标值：有效保障，实际完成值：有效保障，完成率100%。</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rPr>
        <w:t xml:space="preserve">五、预算执行进度与绩效指标偏差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spacing w:val="-4"/>
          <w:sz w:val="32"/>
          <w:szCs w:val="32"/>
        </w:rPr>
      </w:pPr>
      <w:r>
        <w:rPr>
          <w:rStyle w:val="Strong"/>
          <w:rFonts w:ascii="楷体" w:eastAsia="楷体" w:hAnsi="楷体" w:cs="楷体" w:hint="eastAsia"/>
          <w:b w:val="0"/>
          <w:bCs w:val="0"/>
          <w:spacing w:val="-4"/>
          <w:sz w:val="32"/>
          <w:szCs w:val="32"/>
        </w:rPr>
        <w:t xml:space="preserve">2024年裕民县新地乡村级组织运转经费和服务群众经费项目年初预算140.29万元，全年预算140.21万元，实际支出140.21万元，预算执行率为100%，项目绩效指标总体完成率为99.94%，总体偏差率为0.06%。偏差原因主要是部分服务活动在实施过程中受到客观因素影响，如因农忙时节村民参与积极性不足，导致计划开展的12场村级文化活动实际仅完成10场；另有部分物资采购环节出现延迟，使得个别活动未能按时开展。改进措施方面，后续将建立活动开展与村民生产生活周期的动态协调机制，提前通过问卷调查、村民代表会议等方式确定活动时间；优化物资采购流程，引入至少两家备用供应商，签订应急供货协议，确保物资按时到位；同时，完善项目执行的风险预警机制，针对可能出现的突发情况制定详细预案，加强对项目各环节的监督与把控，以提升项目绩效指标的完成度。</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rPr>
        <w:t xml:space="preserve">六、主要经验及做法、存在的问题及原因分析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（一）主要经验及做法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为保障2024年裕民县新地乡村级组织运转经费和服务群众经费项目高质量落地，我单位从规划、实施到验收形成全流程闭环管理体系。在项目筹备阶段，组建由财政、民政、乡村振兴领域专家构成的专项小组，结合新地乡10个行政村人口规模、经济基础及群众实际需求，对项目计划进行三轮论证优化，确保目标设定科学、资金分配合理。例如，针对人口密集村加大服务活动经费倾斜，为偏远村优先配置办公设备，实现资源精准投放。</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项目实施过程中，建立“周调度、月通报、季考评”动态监管机制。每周通过项目管理系统跟踪资金流向与活动进度，每月组织现场督查并形成问题清单，每季度开展绩效自评，及时纠偏。在资金管理方面，严格执行“三审三核”制度：村级申报材料初审、乡镇业务部门复审、县级财政终审；资金拨付前核对预算科目、使用明细、受益对象，确保每笔资金专款专用。如在生活补助发放环节，通过“村级公示+大数据比对”双重核验，实现零差错支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项目完成后，构建“财政+纪检+村民代表”多元监督网络，将财政资金监管关口前移至预算编制环节，在项目立项阶段引入纪检部门廉政风险评估，在资金拨付前由村民代表参与合规性审查，形成全过程、多维度的监管闭环。通过“先实施、后验收、再拨付”的资金管理模式，实现140.21万元财政资金零挤占、零挪用，切实保障项目惠民实效。</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cs="楷体" w:hint="eastAsia"/>
          <w:b w:val="0"/>
          <w:bCs w:val="0"/>
          <w:spacing w:val="-4"/>
          <w:sz w:val="32"/>
          <w:szCs w:val="32"/>
        </w:rPr>
        <w:t xml:space="preserve">干部</w:t>
      </w:r>
      <w:r>
        <w:rPr>
          <w:rStyle w:val="Strong"/>
          <w:rFonts w:ascii="楷体" w:eastAsia="楷体" w:hAnsi="楷体" w:cs="楷体" w:hint="eastAsia"/>
          <w:b w:val="0"/>
          <w:bCs w:val="0"/>
          <w:spacing w:val="-4"/>
          <w:sz w:val="32"/>
          <w:szCs w:val="32"/>
        </w:rPr>
        <w:t xml:space="preserve">分人员缺乏相关绩效管理专业知识，自评价工作还存在自我审定的局限性，影响评价质量。</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ascii="Times New Roman" w:eastAsia="仿宋_GB2312" w:hAnsi="Times New Roman" w:cs="Times New Roman" w:hint="default"/>
          <w:spacing w:val="-4"/>
          <w:sz w:val="32"/>
          <w:szCs w:val="32"/>
        </w:rPr>
      </w:pPr>
      <w:r>
        <w:rPr>
          <w:rStyle w:val="Strong"/>
          <w:rFonts w:ascii="楷体" w:eastAsia="楷体" w:hAnsi="楷体" w:cs="楷体" w:hint="eastAsia"/>
          <w:b w:val="0"/>
          <w:bCs w:val="0"/>
          <w:spacing w:val="-4"/>
          <w:sz w:val="32"/>
          <w:szCs w:val="32"/>
        </w:rPr>
        <w:t xml:space="preserve">2.因轮岗、调动等因素使我单位绩效工作人员流动频繁，造成工作衔接不到位的情况。</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lang w:val="en-US" w:eastAsia="zh-CN"/>
        </w:rPr>
        <w:t xml:space="preserve">七</w:t>
      </w:r>
      <w:r>
        <w:rPr>
          <w:rStyle w:val="Strong"/>
          <w:rFonts w:ascii="Times New Roman" w:eastAsia="黑体" w:hAnsi="Times New Roman" w:cs="Times New Roman" w:hint="default"/>
          <w:b w:val="0"/>
          <w:spacing w:val="-4"/>
          <w:sz w:val="32"/>
          <w:szCs w:val="32"/>
        </w:rPr>
        <w:t xml:space="preserve">、有关建议</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1.多进行有关绩效管理工作方面的培训。积极组织第三方开展绩效管理工作培训，进一步夯实业务基础，提高我单位绩效人员水平。</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2.专门设定对绩效工作人员定职、定岗、定责等相关制度措施，进一步提升我单位绩效管理工作业务水平，扎实做好绩效管理工作。</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b w:val="0"/>
          <w:bCs w:val="0"/>
          <w:spacing w:val="-4"/>
          <w:sz w:val="32"/>
          <w:szCs w:val="32"/>
        </w:rPr>
      </w:pPr>
      <w:r>
        <w:rPr>
          <w:rStyle w:val="Strong"/>
          <w:rFonts w:ascii="楷体" w:eastAsia="楷体" w:hAnsi="楷体" w:cs="楷体" w:hint="eastAsia"/>
          <w:b w:val="0"/>
          <w:bCs w:val="0"/>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楷体" w:eastAsia="楷体" w:hAnsi="楷体" w:cs="楷体" w:hint="eastAsia"/>
          <w:spacing w:val="-4"/>
          <w:sz w:val="32"/>
          <w:szCs w:val="32"/>
        </w:rPr>
      </w:pPr>
      <w:r>
        <w:rPr>
          <w:rStyle w:val="Strong"/>
          <w:rFonts w:ascii="楷体" w:eastAsia="楷体" w:hAnsi="楷体" w:cs="楷体" w:hint="eastAsia"/>
          <w:b w:val="0"/>
          <w:bCs w:val="0"/>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keepNext w:val="0"/>
        <w:keepLines w:val="0"/>
        <w:pageBreakBefore w:val="0"/>
        <w:widowControl w:val="0"/>
        <w:kinsoku/>
        <w:wordWrap/>
        <w:overflowPunct/>
        <w:topLinePunct w:val="0"/>
        <w:autoSpaceDE/>
        <w:autoSpaceDN/>
        <w:bidi w:val="0"/>
        <w:adjustRightInd/>
        <w:snapToGrid/>
        <w:spacing w:line="540" w:lineRule="exact"/>
        <w:jc w:val="both"/>
        <w:textAlignment w:val="auto"/>
        <w:rPr>
          <w:rStyle w:val="Strong"/>
          <w:rFonts w:ascii="Times New Roman" w:eastAsia="黑体" w:hAnsi="Times New Roman" w:cs="Times New Roman" w:hint="default"/>
          <w:b w:val="0"/>
          <w:spacing w:val="-4"/>
          <w:sz w:val="32"/>
          <w:szCs w:val="32"/>
        </w:rPr>
      </w:pPr>
      <w:r>
        <w:rPr>
          <w:rStyle w:val="Strong"/>
          <w:rFonts w:ascii="Times New Roman" w:eastAsia="黑体" w:hAnsi="Times New Roman" w:cs="Times New Roman" w:hint="default"/>
          <w:b w:val="0"/>
          <w:spacing w:val="-4"/>
          <w:sz w:val="32"/>
          <w:szCs w:val="32"/>
          <w:lang w:val="en-US" w:eastAsia="zh-CN"/>
        </w:rPr>
        <w:t xml:space="preserve">八</w:t>
      </w:r>
      <w:r>
        <w:rPr>
          <w:rStyle w:val="Strong"/>
          <w:rFonts w:ascii="Times New Roman" w:eastAsia="黑体" w:hAnsi="Times New Roman" w:cs="Times New Roman" w:hint="default"/>
          <w:b w:val="0"/>
          <w:spacing w:val="-4"/>
          <w:sz w:val="32"/>
          <w:szCs w:val="32"/>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楷体" w:hAnsi="Times New Roman" w:cs="Times New Roman" w:hint="default"/>
          <w:b w:val="0"/>
          <w:bCs w:val="0"/>
          <w:spacing w:val="-4"/>
          <w:sz w:val="32"/>
          <w:szCs w:val="32"/>
        </w:rPr>
      </w:pPr>
      <w:r>
        <w:rPr>
          <w:rStyle w:val="Strong"/>
          <w:rFonts w:ascii="Times New Roman" w:eastAsia="楷体" w:hAnsi="Times New Roman" w:cs="Times New Roman" w:hint="default"/>
          <w:b w:val="0"/>
          <w:bCs w:val="0"/>
          <w:spacing w:val="-4"/>
          <w:sz w:val="32"/>
          <w:szCs w:val="32"/>
        </w:rPr>
        <w:t xml:space="preserve">本项目无其他需说明的问题。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仿宋" w:hAnsi="Times New Roman" w:cs="Times New Roman" w:hint="default"/>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仿宋" w:hAnsi="Times New Roman" w:cs="Times New Roman" w:hint="default"/>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仿宋" w:hAnsi="Times New Roman" w:cs="Times New Roman" w:hint="default"/>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Style w:val="Strong"/>
          <w:rFonts w:ascii="Times New Roman" w:eastAsia="仿宋" w:hAnsi="Times New Roman" w:cs="Times New Roman" w:hint="default"/>
          <w:b w:val="0"/>
          <w:spacing w:val="-4"/>
          <w:sz w:val="32"/>
          <w:szCs w:val="32"/>
        </w:rPr>
      </w:pPr>
    </w:p>
    <w:sectPr>
      <w:footerReference w:type="default" r:id="rId3"/>
      <w:pgSz w:w="11906" w:h="16838" w:orient="portrait"/>
      <w:pgMar w:top="1440" w:right="1558" w:bottom="1440" w:left="1757" w:header="851" w:footer="992" w:gutter="0"/>
      <w:pgBorders/>
      <w:pgNumType w:fmt="decimal"/>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r>
      <w:rPr>
        <w:sz w:val="21"/>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w:t>
                    </w:r>
                    <w:r>
                      <w:fldChar w:fldCharType="end"/>
                    </w:r>
                  </w:p>
                </w:txbxContent>
              </v:textbox>
              <w10:wrap anchorx="margin"/>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1"/>
      <w:numFmt w:val="decimal"/>
      <w:suff w:val="nothing"/>
      <w:lvlText w:val="（%1）"/>
      <w:lvlJc w:val="left"/>
      <w:rPr/>
    </w:lvl>
  </w:abstractNum>
  <w:abstractNum w:abstractNumId="4">
    <w:multiLevelType w:val="singleLevel"/>
    <w:lvl w:ilvl="0">
      <w:start w:val="1"/>
      <w:numFmt w:val="decimal"/>
      <w:suff w:val="nothing"/>
      <w:lvlText w:val="（%1）"/>
      <w:lvlJc w:val="left"/>
      <w:rPr/>
    </w:lvl>
  </w:abstractNum>
  <w:abstractNum w:abstractNumId="5">
    <w:multiLevelType w:val="singleLevel"/>
    <w:lvl w:ilvl="0">
      <w:start w:val="1"/>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table" w:styleId="TableGrid">
    <w:name w:val="Table Grid"/>
    <w:basedOn w:val="NormalTable"/>
    <w:uiPriority w:val="59"/>
    <w:qFormat/>
    <w:pPr>
      <w:widowControl w:val="0"/>
      <w:jc w:val="both"/>
    </w:pP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D63865BA708544CD8FD521CBA4F26D48_13</vt:lpwstr>
  </property>
  <property fmtid="{D5CDD505-2E9C-101B-9397-08002B2CF9AE}" pid="4" name="KSOTemplateDocerSaveRecord">
    <vt:lpwstr>eyJoZGlkIjoiM2E5NjU3ZTI0NmE1MjQ4OTkyOTZkYmQyMzRhMWY4ZTAiLCJ1c2VySWQiOiI0MjIzNjkzNDAifQ==</vt:lpwstr>
  </property>
</Properties>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101</TotalTime>
  <Pages>27</Pages>
  <Words>13994</Words>
  <Characters>14462</Characters>
  <Application>WPS Office_12.1.0.21915_F1E327BC-269C-435d-A152-05C5408002CA</Application>
  <DocSecurity>0</DocSecurity>
  <Lines>5</Lines>
  <Paragraphs>1</Paragraphs>
  <CharactersWithSpaces>14485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三 更 。</cp:lastModifiedBy>
  <cp:revision>19</cp:revision>
  <cp:lastPrinted>2018-12-31T10:56:00Z</cp:lastPrinted>
  <dcterms:created xsi:type="dcterms:W3CDTF">2018-08-15T02:06:00Z</dcterms:created>
  <dcterms:modified xsi:type="dcterms:W3CDTF">2025-08-20T03:39:19Z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2052-12.1.0.21915</vt:lpwstr>
  </property>
  <property fmtid="{D5CDD505-2E9C-101B-9397-08002B2CF9AE}" pid="3" name="ICV">
    <vt:lpwstr>D63865BA708544CD8FD521CBA4F26D48_13</vt:lpwstr>
  </property>
  <property fmtid="{D5CDD505-2E9C-101B-9397-08002B2CF9AE}" pid="4" name="KSOTemplateDocerSaveRecord">
    <vt:lpwstr>eyJoZGlkIjoiM2E5NjU3ZTI0NmE1MjQ4OTkyOTZkYmQyMzRhMWY4ZTAiLCJ1c2VySWQiOiI0MjIzNjkzNDAifQ_x003D__x003D_</vt:lpwstr>
  </property>
</Properties>
</file>